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right"/>
        <w:rPr>
          <w:rFonts w:ascii="Liberation Serif" w:hAnsi="Liberation Serif" w:cs="Times New Roman"/>
          <w:b/>
          <w:b/>
          <w:i/>
          <w:i/>
          <w:sz w:val="22"/>
          <w:szCs w:val="22"/>
        </w:rPr>
      </w:pPr>
      <w:r>
        <w:rPr>
          <w:rFonts w:cs="Times New Roman" w:ascii="Liberation Serif" w:hAnsi="Liberation Serif"/>
          <w:b/>
          <w:i/>
          <w:sz w:val="22"/>
          <w:szCs w:val="22"/>
        </w:rPr>
        <w:t>Приложение 1 к техническим требованиям на закупку Амурские ЭС</w:t>
      </w:r>
    </w:p>
    <w:p>
      <w:pPr>
        <w:pStyle w:val="Normal"/>
        <w:spacing w:before="0" w:after="0"/>
        <w:jc w:val="right"/>
        <w:rPr>
          <w:rFonts w:ascii="Liberation Serif" w:hAnsi="Liberation Serif" w:cs="Times New Roman"/>
          <w:b/>
          <w:b/>
          <w:sz w:val="22"/>
          <w:szCs w:val="22"/>
        </w:rPr>
      </w:pPr>
      <w:r>
        <w:rPr>
          <w:rFonts w:cs="Times New Roman" w:ascii="Liberation Serif" w:hAnsi="Liberation Serif"/>
          <w:b/>
          <w:sz w:val="22"/>
          <w:szCs w:val="22"/>
        </w:rPr>
      </w:r>
    </w:p>
    <w:p>
      <w:pPr>
        <w:pStyle w:val="Normal"/>
        <w:spacing w:lineRule="atLeast" w:line="0"/>
        <w:jc w:val="center"/>
        <w:rPr>
          <w:rFonts w:ascii="Liberation Serif" w:hAnsi="Liberation Serif" w:cs="Times New Roman"/>
          <w:b/>
          <w:b/>
          <w:sz w:val="22"/>
          <w:szCs w:val="22"/>
        </w:rPr>
      </w:pPr>
      <w:r>
        <w:rPr>
          <w:rFonts w:cs="Times New Roman" w:ascii="Liberation Serif" w:hAnsi="Liberation Serif"/>
          <w:b/>
          <w:sz w:val="22"/>
          <w:szCs w:val="22"/>
        </w:rPr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ОПРОСНЫЙ ЛИСТ</w:t>
      </w:r>
    </w:p>
    <w:p>
      <w:pPr>
        <w:pStyle w:val="Normal"/>
        <w:spacing w:lineRule="auto" w:line="240"/>
        <w:jc w:val="center"/>
        <w:rPr>
          <w:rFonts w:ascii="Liberation Serif" w:hAnsi="Liberation Serif" w:cs="Times New Roman"/>
          <w:b/>
          <w:b/>
        </w:rPr>
      </w:pPr>
      <w:r>
        <w:rPr>
          <w:rFonts w:cs="Times New Roman" w:ascii="Liberation Serif" w:hAnsi="Liberation Serif"/>
          <w:b/>
        </w:rPr>
      </w:r>
    </w:p>
    <w:p>
      <w:pPr>
        <w:pStyle w:val="Closing"/>
        <w:spacing w:lineRule="auto" w:line="240"/>
        <w:jc w:val="left"/>
        <w:rPr/>
      </w:pPr>
      <w:r>
        <w:rPr>
          <w:rStyle w:val="Style6"/>
          <w:rFonts w:ascii="Liberation Serif" w:hAnsi="Liberation Serif"/>
          <w:sz w:val="24"/>
          <w:szCs w:val="24"/>
        </w:rPr>
        <w:t>Заказчик:  филиал АО «ДРСК» «Амурские ЭС» для СП «ЦЭС»</w:t>
      </w:r>
    </w:p>
    <w:p>
      <w:pPr>
        <w:pStyle w:val="Normal"/>
        <w:spacing w:lineRule="auto" w:line="240" w:before="6" w:after="0"/>
        <w:ind w:left="0" w:right="142" w:hanging="0"/>
        <w:jc w:val="both"/>
        <w:rPr/>
      </w:pPr>
      <w:r>
        <w:rPr>
          <w:rStyle w:val="Style6"/>
          <w:rFonts w:ascii="Liberation Serif" w:hAnsi="Liberation Serif"/>
          <w:b/>
          <w:bCs/>
          <w:sz w:val="24"/>
          <w:szCs w:val="24"/>
        </w:rPr>
        <w:t>Объект (место): служба ИЗПИ СП ЦЭС</w:t>
      </w:r>
    </w:p>
    <w:p>
      <w:pPr>
        <w:pStyle w:val="Normal"/>
        <w:tabs>
          <w:tab w:val="clear" w:pos="708"/>
          <w:tab w:val="left" w:pos="-829" w:leader="none"/>
        </w:tabs>
        <w:spacing w:lineRule="auto" w:line="360" w:before="120" w:after="0"/>
        <w:ind w:left="0" w:right="142" w:hanging="0"/>
        <w:jc w:val="both"/>
        <w:rPr>
          <w:rFonts w:ascii="Liberation Serif" w:hAnsi="Liberation Serif"/>
          <w:b/>
          <w:b/>
          <w:bCs/>
          <w:sz w:val="22"/>
          <w:szCs w:val="22"/>
        </w:rPr>
      </w:pPr>
      <w:r>
        <w:rPr>
          <w:rStyle w:val="Style6"/>
          <w:rFonts w:eastAsia="Times New Roman" w:cs="Times New Roman" w:ascii="Liberation Serif" w:hAnsi="Liberation Serif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eastAsia="ru-RU"/>
        </w:rPr>
        <w:t>1</w:t>
      </w:r>
      <w:r>
        <w:rPr>
          <w:rStyle w:val="Style6"/>
          <w:rFonts w:eastAsia="Times New Roman" w:cs="Times New Roman" w:ascii="Liberation Serif" w:hAnsi="Liberation Serif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eastAsia="ru-RU"/>
        </w:rPr>
        <w:t>. Прибор кабельный ИРК-ПРО ГАММА</w:t>
      </w:r>
    </w:p>
    <w:tbl>
      <w:tblPr>
        <w:tblW w:w="10092" w:type="dxa"/>
        <w:jc w:val="left"/>
        <w:tblInd w:w="-74" w:type="dxa"/>
        <w:tblLayout w:type="fixed"/>
        <w:tblCellMar>
          <w:top w:w="55" w:type="dxa"/>
          <w:left w:w="113" w:type="dxa"/>
          <w:bottom w:w="55" w:type="dxa"/>
          <w:right w:w="108" w:type="dxa"/>
        </w:tblCellMar>
      </w:tblPr>
      <w:tblGrid>
        <w:gridCol w:w="585"/>
        <w:gridCol w:w="4979"/>
        <w:gridCol w:w="2447"/>
        <w:gridCol w:w="2080"/>
      </w:tblGrid>
      <w:tr>
        <w:trPr>
          <w:trHeight w:val="354" w:hRule="atLeast"/>
        </w:trPr>
        <w:tc>
          <w:tcPr>
            <w:tcW w:w="5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eastAsia="Calibri"/>
                <w:b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color w:val="000000"/>
                <w:sz w:val="22"/>
                <w:szCs w:val="22"/>
                <w:lang w:eastAsia="en-US"/>
              </w:rPr>
            </w:r>
          </w:p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color w:val="000000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497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color w:val="000000"/>
                <w:sz w:val="22"/>
                <w:szCs w:val="22"/>
                <w:lang w:eastAsia="en-US"/>
              </w:rPr>
              <w:t>Технические и функциональные характеристики (параметры эквивалентности)</w:t>
            </w:r>
          </w:p>
        </w:tc>
        <w:tc>
          <w:tcPr>
            <w:tcW w:w="2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color w:val="000000"/>
                <w:sz w:val="22"/>
                <w:szCs w:val="22"/>
                <w:lang w:eastAsia="en-US"/>
              </w:rPr>
              <w:t>Требование заказчика</w:t>
            </w:r>
          </w:p>
        </w:tc>
        <w:tc>
          <w:tcPr>
            <w:tcW w:w="2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color w:val="000000"/>
                <w:sz w:val="22"/>
                <w:szCs w:val="22"/>
                <w:lang w:eastAsia="en-US"/>
              </w:rPr>
              <w:t>Предложение Участника</w:t>
            </w:r>
          </w:p>
        </w:tc>
      </w:tr>
      <w:tr>
        <w:trPr/>
        <w:tc>
          <w:tcPr>
            <w:tcW w:w="58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97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527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eastAsia="Calibri"/>
                <w:b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color w:val="000000"/>
                <w:sz w:val="22"/>
                <w:szCs w:val="22"/>
                <w:lang w:eastAsia="en-US"/>
              </w:rPr>
              <w:t>Значение</w:t>
            </w:r>
          </w:p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ascii="Liberation Serif" w:hAnsi="Liberation Serif"/>
                <w:b/>
                <w:color w:val="000000"/>
                <w:sz w:val="22"/>
                <w:szCs w:val="22"/>
                <w:lang w:eastAsia="en-US"/>
              </w:rPr>
              <w:t>(параметры эквивалентности)</w:t>
            </w:r>
          </w:p>
        </w:tc>
      </w:tr>
      <w:tr>
        <w:trPr/>
        <w:tc>
          <w:tcPr>
            <w:tcW w:w="585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79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Диапазоны измеряемых рефлектометром</w:t>
            </w: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br/>
            </w: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расстояний</w:t>
            </w:r>
          </w:p>
        </w:tc>
        <w:tc>
          <w:tcPr>
            <w:tcW w:w="2447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131, 262, 523, 1046, 2093, 4186,</w:t>
            </w: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br/>
            </w: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8371, 16742, 33485, 66970 м</w:t>
            </w: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585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79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t>Максимальное разрешение</w:t>
            </w:r>
          </w:p>
        </w:tc>
        <w:tc>
          <w:tcPr>
            <w:tcW w:w="2447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t>0,2 м</w:t>
            </w: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585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79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t>Перекрываемое затухание</w:t>
            </w:r>
          </w:p>
        </w:tc>
        <w:tc>
          <w:tcPr>
            <w:tcW w:w="2447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Не менее 80 дБ</w:t>
            </w: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585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79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Регулируемая амплитуда зондирующего</w:t>
            </w: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br/>
            </w: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импульса</w:t>
            </w:r>
          </w:p>
        </w:tc>
        <w:tc>
          <w:tcPr>
            <w:tcW w:w="2447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6...18 В с шагом 1 В</w:t>
            </w: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585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79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t>Длительность зондирующего импульса</w:t>
            </w:r>
          </w:p>
        </w:tc>
        <w:tc>
          <w:tcPr>
            <w:tcW w:w="2447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16...30000 нс</w:t>
            </w: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585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79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t>Количество усреднений</w:t>
            </w:r>
          </w:p>
        </w:tc>
        <w:tc>
          <w:tcPr>
            <w:tcW w:w="2447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2, 4, 8, 16, 32, 64, 128, 256, 512</w:t>
            </w: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>
          <w:trHeight w:val="236" w:hRule="atLeast"/>
        </w:trPr>
        <w:tc>
          <w:tcPr>
            <w:tcW w:w="585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979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before="0" w:after="160"/>
              <w:jc w:val="left"/>
              <w:rPr>
                <w:rFonts w:ascii="Liberation Serif" w:hAnsi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Диапазон установки коэффициента укорочения</w:t>
            </w:r>
          </w:p>
        </w:tc>
        <w:tc>
          <w:tcPr>
            <w:tcW w:w="2447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1...7 с шагом 0,001</w:t>
            </w: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585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979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before="0" w:after="160"/>
              <w:jc w:val="left"/>
              <w:rPr>
                <w:rFonts w:ascii="Liberation Serif" w:hAnsi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Диапазон измерения сопротивления изоляции</w:t>
              <w:tab/>
            </w:r>
          </w:p>
        </w:tc>
        <w:tc>
          <w:tcPr>
            <w:tcW w:w="2447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1 кОм – 50000 МОм</w:t>
            </w: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585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979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before="0" w:after="160"/>
              <w:jc w:val="left"/>
              <w:rPr>
                <w:rFonts w:ascii="Liberation Serif" w:hAnsi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Диапазон измерения электрической емкости</w:t>
              <w:tab/>
            </w:r>
          </w:p>
        </w:tc>
        <w:tc>
          <w:tcPr>
            <w:tcW w:w="2447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0,1 – 2000 нФ</w:t>
            </w: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585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979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before="0" w:after="160"/>
              <w:jc w:val="left"/>
              <w:rPr>
                <w:rFonts w:ascii="Liberation Serif" w:hAnsi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Диапазон измерения сопротивления шлейфа</w:t>
              <w:tab/>
            </w:r>
          </w:p>
        </w:tc>
        <w:tc>
          <w:tcPr>
            <w:tcW w:w="2447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0 – 10 кОм</w:t>
            </w: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585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979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before="0" w:after="160"/>
              <w:jc w:val="left"/>
              <w:rPr>
                <w:rFonts w:ascii="Liberation Serif" w:hAnsi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Испытательное напряжение</w:t>
              <w:tab/>
            </w:r>
          </w:p>
        </w:tc>
        <w:tc>
          <w:tcPr>
            <w:tcW w:w="2447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180 В</w:t>
            </w: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585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979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before="0" w:after="160"/>
              <w:jc w:val="left"/>
              <w:rPr>
                <w:rFonts w:ascii="Liberation Serif" w:hAnsi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Диапазон Rп в месте повреждения изоляции</w:t>
              <w:tab/>
            </w:r>
          </w:p>
        </w:tc>
        <w:tc>
          <w:tcPr>
            <w:tcW w:w="2447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0 - 20 МОм</w:t>
            </w: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585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79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before="0" w:after="160"/>
              <w:jc w:val="left"/>
              <w:rPr>
                <w:rFonts w:ascii="Liberation Serif" w:hAnsi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Диапазон измерения напряжения</w:t>
              <w:tab/>
            </w:r>
          </w:p>
        </w:tc>
        <w:tc>
          <w:tcPr>
            <w:tcW w:w="2447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0 – 300 В</w:t>
            </w: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585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979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before="0" w:after="160"/>
              <w:jc w:val="left"/>
              <w:rPr>
                <w:rFonts w:ascii="Liberation Serif" w:hAnsi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Питание прибора от встроенного</w:t>
              <w:br/>
              <w:t>аккумулятора</w:t>
            </w:r>
          </w:p>
        </w:tc>
        <w:tc>
          <w:tcPr>
            <w:tcW w:w="2447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Li-Ion 7,2В 4,4 А/ч</w:t>
            </w: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585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979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before="0" w:after="160"/>
              <w:jc w:val="left"/>
              <w:rPr>
                <w:rFonts w:ascii="Liberation Serif" w:hAnsi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Потребляемая мощность</w:t>
            </w:r>
          </w:p>
        </w:tc>
        <w:tc>
          <w:tcPr>
            <w:tcW w:w="2447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Не более 7 Вт</w:t>
            </w: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585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979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before="0" w:after="160"/>
              <w:jc w:val="left"/>
              <w:rPr>
                <w:rFonts w:ascii="Liberation Serif" w:hAnsi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Габариты</w:t>
            </w:r>
          </w:p>
        </w:tc>
        <w:tc>
          <w:tcPr>
            <w:tcW w:w="2447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270 х 240 х 120</w:t>
            </w: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585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979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before="0" w:after="160"/>
              <w:jc w:val="left"/>
              <w:rPr>
                <w:rFonts w:ascii="Liberation Serif" w:hAnsi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Вес</w:t>
            </w:r>
          </w:p>
        </w:tc>
        <w:tc>
          <w:tcPr>
            <w:tcW w:w="2447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2,5 кг</w:t>
            </w: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585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Liberation Serif" w:hAnsi="Liberation Serif"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 w:ascii="Liberation Serif" w:hAnsi="Liberation Serif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979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before="0" w:after="160"/>
              <w:jc w:val="left"/>
              <w:rPr>
                <w:rFonts w:ascii="Liberation Serif" w:hAnsi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Количество приобретаемых приборов</w:t>
            </w:r>
          </w:p>
        </w:tc>
        <w:tc>
          <w:tcPr>
            <w:tcW w:w="2447" w:type="dxa"/>
            <w:tcBorders>
              <w:left w:val="single" w:sz="4" w:space="0" w:color="00000A"/>
              <w:bottom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Style16"/>
              <w:widowControl w:val="false"/>
              <w:spacing w:lineRule="atLeast" w:line="225" w:before="0" w:after="16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b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Комплектация</w:t>
      </w:r>
    </w:p>
    <w:tbl>
      <w:tblPr>
        <w:tblW w:w="9972" w:type="dxa"/>
        <w:jc w:val="center"/>
        <w:tblInd w:w="0" w:type="dxa"/>
        <w:tblLayout w:type="fixed"/>
        <w:tblCellMar>
          <w:top w:w="0" w:type="dxa"/>
          <w:left w:w="88" w:type="dxa"/>
          <w:bottom w:w="0" w:type="dxa"/>
          <w:right w:w="108" w:type="dxa"/>
        </w:tblCellMar>
      </w:tblPr>
      <w:tblGrid>
        <w:gridCol w:w="675"/>
        <w:gridCol w:w="7785"/>
        <w:gridCol w:w="1512"/>
      </w:tblGrid>
      <w:tr>
        <w:trPr>
          <w:trHeight w:val="397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pacing w:before="0" w:after="160"/>
              <w:jc w:val="center"/>
              <w:rPr>
                <w:rFonts w:ascii="Liberation Serif" w:hAnsi="Liberation Serif" w:cs="Liberation Serif"/>
                <w:b/>
                <w:b/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cs="Liberation Serif" w:ascii="Liberation Serif" w:hAnsi="Liberation Serif"/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7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pacing w:before="0" w:after="160"/>
              <w:ind w:left="567" w:right="0" w:hanging="567"/>
              <w:jc w:val="center"/>
              <w:rPr>
                <w:rFonts w:ascii="Liberation Serif" w:hAnsi="Liberation Serif" w:cs="Liberation Serif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pacing w:before="0" w:after="160"/>
              <w:ind w:left="567" w:right="0" w:hanging="567"/>
              <w:jc w:val="center"/>
              <w:rPr>
                <w:rFonts w:ascii="Liberation Serif" w:hAnsi="Liberation Serif" w:cs="Liberation Serif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color w:val="000000"/>
                <w:sz w:val="22"/>
                <w:szCs w:val="22"/>
              </w:rPr>
              <w:t>Количество</w:t>
            </w:r>
          </w:p>
        </w:tc>
      </w:tr>
      <w:tr>
        <w:trPr>
          <w:trHeight w:val="397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25" w:before="0" w:after="160"/>
              <w:rPr>
                <w:rFonts w:ascii="Liberation Serif" w:hAnsi="Liberation Serif" w:cs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Кабельный прибор ИРК-ПРО Гамма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397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25" w:before="0" w:after="160"/>
              <w:rPr>
                <w:rFonts w:ascii="Liberation Serif" w:hAnsi="Liberation Serif" w:cs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Набор проводов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397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25" w:before="0" w:after="160"/>
              <w:rPr>
                <w:rFonts w:ascii="Liberation Serif" w:hAnsi="Liberation Serif" w:cs="Liberation Serif"/>
                <w:b w:val="false"/>
                <w:b w:val="false"/>
                <w:i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Сетевой адаптер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397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</w:rPr>
              <w:t>Руководство по эксплуатации</w:t>
            </w: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rPr>
          <w:trHeight w:val="397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Паспорт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tLeast" w:line="225" w:before="0" w:after="160"/>
              <w:jc w:val="center"/>
              <w:textAlignment w:val="auto"/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rPr>
          <w:trHeight w:val="397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Методика поверки (калибровки)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rPr>
          <w:trHeight w:val="397" w:hRule="atLeast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25" w:before="0" w:after="16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00000"/>
                <w:sz w:val="24"/>
                <w:szCs w:val="24"/>
              </w:rPr>
              <w:t>7.</w:t>
            </w:r>
          </w:p>
        </w:tc>
        <w:tc>
          <w:tcPr>
            <w:tcW w:w="7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Свидетельство о поверке (калибровке)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widowControl w:val="false"/>
              <w:spacing w:lineRule="atLeast" w:line="225"/>
              <w:jc w:val="center"/>
              <w:textAlignment w:val="auto"/>
              <w:rPr>
                <w:rFonts w:ascii="Liberation Serif" w:hAnsi="Liberation Serif" w:cs="Arial"/>
                <w:color w:val="000000"/>
                <w:kern w:val="0"/>
                <w:sz w:val="24"/>
                <w:szCs w:val="24"/>
              </w:rPr>
            </w:pPr>
            <w:r>
              <w:rPr>
                <w:rFonts w:cs="Arial" w:ascii="Liberation Serif" w:hAnsi="Liberation Serif"/>
                <w:color w:val="000000"/>
                <w:kern w:val="0"/>
                <w:sz w:val="24"/>
                <w:szCs w:val="24"/>
              </w:rPr>
              <w:t>1</w:t>
            </w:r>
          </w:p>
        </w:tc>
      </w:tr>
    </w:tbl>
    <w:p>
      <w:pPr>
        <w:pStyle w:val="Normal"/>
        <w:tabs>
          <w:tab w:val="clear" w:pos="708"/>
          <w:tab w:val="left" w:pos="-829" w:leader="none"/>
        </w:tabs>
        <w:spacing w:lineRule="auto" w:line="360" w:before="120" w:after="0"/>
        <w:ind w:left="0" w:right="142" w:hanging="0"/>
        <w:jc w:val="both"/>
        <w:rPr>
          <w:rFonts w:ascii="Liberation Serif" w:hAnsi="Liberation Serif"/>
          <w:b/>
          <w:b/>
          <w:bCs/>
          <w:sz w:val="22"/>
          <w:szCs w:val="22"/>
        </w:rPr>
      </w:pPr>
      <w:r>
        <w:rPr>
          <w:rFonts w:ascii="Liberation Serif" w:hAnsi="Liberation Serif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left" w:pos="-829" w:leader="none"/>
        </w:tabs>
        <w:spacing w:lineRule="auto" w:line="360" w:before="120" w:after="0"/>
        <w:ind w:left="0" w:right="142" w:hanging="0"/>
        <w:jc w:val="both"/>
        <w:rPr>
          <w:rStyle w:val="Style6"/>
          <w:rFonts w:ascii="Liberation Serif" w:hAnsi="Liberation Serif" w:eastAsia="Times New Roman" w:cs="Times New Roman"/>
          <w:b/>
          <w:b/>
          <w:bCs/>
          <w:i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eastAsia="ru-RU"/>
        </w:rPr>
      </w:pPr>
      <w:r>
        <w:rPr/>
      </w:r>
    </w:p>
    <w:sectPr>
      <w:type w:val="nextPage"/>
      <w:pgSz w:w="11906" w:h="16838"/>
      <w:pgMar w:left="1134" w:right="624" w:header="0" w:top="720" w:footer="0" w:bottom="709" w:gutter="0"/>
      <w:pgNumType w:fmt="decimal"/>
      <w:formProt w:val="false"/>
      <w:textDirection w:val="lrTb"/>
      <w:docGrid w:type="default" w:linePitch="600" w:charSpace="4505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59" w:before="0" w:after="160"/>
      <w:jc w:val="left"/>
    </w:pPr>
    <w:rPr>
      <w:rFonts w:ascii="Calibri" w:hAnsi="Calibri" w:eastAsia="Calibri" w:cs="DejaVu Sans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"/>
    <w:qFormat/>
    <w:pPr>
      <w:keepNext w:val="true"/>
      <w:suppressAutoHyphens w:val="true"/>
      <w:spacing w:lineRule="auto" w:line="240" w:before="240" w:after="60"/>
      <w:textAlignment w:val="baseline"/>
      <w:outlineLvl w:val="0"/>
    </w:pPr>
    <w:rPr>
      <w:rFonts w:ascii="Arial" w:hAnsi="Arial" w:eastAsia="Arial" w:cs="Arial"/>
      <w:b/>
      <w:bCs/>
      <w:kern w:val="2"/>
      <w:sz w:val="32"/>
      <w:szCs w:val="32"/>
      <w:lang w:eastAsia="ru-RU"/>
    </w:rPr>
  </w:style>
  <w:style w:type="paragraph" w:styleId="2">
    <w:name w:val="Heading 2"/>
    <w:basedOn w:val="Normal"/>
    <w:link w:val="2"/>
    <w:qFormat/>
    <w:pPr>
      <w:keepNext w:val="true"/>
      <w:suppressAutoHyphens w:val="true"/>
      <w:spacing w:lineRule="auto" w:line="240" w:before="600" w:after="300"/>
      <w:jc w:val="center"/>
      <w:textAlignment w:val="baseline"/>
      <w:outlineLvl w:val="1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3">
    <w:name w:val="Heading 3"/>
    <w:basedOn w:val="Normal"/>
    <w:link w:val="3"/>
    <w:qFormat/>
    <w:pPr>
      <w:keepNext w:val="true"/>
      <w:suppressAutoHyphens w:val="true"/>
      <w:spacing w:lineRule="atLeast" w:line="240" w:before="0" w:after="360"/>
      <w:ind w:left="2880" w:right="0" w:firstLine="720"/>
      <w:jc w:val="both"/>
      <w:textAlignment w:val="baseline"/>
      <w:outlineLvl w:val="2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4">
    <w:name w:val="Heading 4"/>
    <w:basedOn w:val="Normal"/>
    <w:link w:val="4"/>
    <w:qFormat/>
    <w:pPr>
      <w:keepNext w:val="true"/>
      <w:suppressAutoHyphens w:val="true"/>
      <w:spacing w:lineRule="atLeast" w:line="240" w:before="360" w:after="0"/>
      <w:ind w:left="0" w:right="0" w:firstLine="34"/>
      <w:jc w:val="both"/>
      <w:textAlignment w:val="baseline"/>
      <w:outlineLvl w:val="3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5">
    <w:name w:val="Heading 5"/>
    <w:basedOn w:val="Normal"/>
    <w:link w:val="5"/>
    <w:qFormat/>
    <w:pPr>
      <w:keepNext w:val="true"/>
      <w:suppressAutoHyphens w:val="true"/>
      <w:spacing w:lineRule="auto" w:line="240" w:before="0" w:after="0"/>
      <w:ind w:left="6521" w:right="0" w:hanging="0"/>
      <w:textAlignment w:val="baseline"/>
      <w:outlineLvl w:val="4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6">
    <w:name w:val="Heading 6"/>
    <w:basedOn w:val="Normal"/>
    <w:link w:val="6"/>
    <w:qFormat/>
    <w:pPr>
      <w:suppressAutoHyphens w:val="true"/>
      <w:spacing w:lineRule="auto" w:line="240" w:before="240" w:after="60"/>
      <w:textAlignment w:val="baseline"/>
      <w:outlineLvl w:val="5"/>
    </w:pPr>
    <w:rPr>
      <w:rFonts w:ascii="Times New Roman" w:hAnsi="Times New Roman" w:eastAsia="Times New Roman" w:cs="Times New Roman"/>
      <w:b/>
      <w:bCs/>
      <w:kern w:val="2"/>
      <w:lang w:eastAsia="ru-RU"/>
    </w:rPr>
  </w:style>
  <w:style w:type="paragraph" w:styleId="7">
    <w:name w:val="Heading 7"/>
    <w:basedOn w:val="Normal"/>
    <w:link w:val="7"/>
    <w:qFormat/>
    <w:pPr>
      <w:suppressAutoHyphens w:val="true"/>
      <w:spacing w:lineRule="auto" w:line="240" w:before="240" w:after="60"/>
      <w:textAlignment w:val="baseline"/>
      <w:outlineLvl w:val="6"/>
    </w:pPr>
    <w:rPr>
      <w:rFonts w:ascii="Calibri" w:hAnsi="Calibri" w:eastAsia="Calibri" w:cs="Calibri"/>
      <w:kern w:val="2"/>
      <w:sz w:val="24"/>
      <w:szCs w:val="24"/>
      <w:lang w:eastAsia="ru-RU"/>
    </w:rPr>
  </w:style>
  <w:style w:type="paragraph" w:styleId="8">
    <w:name w:val="Heading 8"/>
    <w:basedOn w:val="Normal"/>
    <w:link w:val="8"/>
    <w:qFormat/>
    <w:pPr>
      <w:keepNext w:val="true"/>
      <w:suppressAutoHyphens w:val="true"/>
      <w:spacing w:lineRule="atLeast" w:line="240" w:before="0" w:after="0"/>
      <w:ind w:left="36" w:right="36" w:hanging="0"/>
      <w:jc w:val="center"/>
      <w:textAlignment w:val="baseline"/>
      <w:outlineLvl w:val="7"/>
    </w:pPr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paragraph" w:styleId="9">
    <w:name w:val="Heading 9"/>
    <w:basedOn w:val="Normal"/>
    <w:link w:val="9"/>
    <w:qFormat/>
    <w:pPr>
      <w:suppressAutoHyphens w:val="true"/>
      <w:spacing w:lineRule="auto" w:line="240" w:before="240" w:after="60"/>
      <w:textAlignment w:val="baseline"/>
      <w:outlineLvl w:val="8"/>
    </w:pPr>
    <w:rPr>
      <w:rFonts w:ascii="Arial" w:hAnsi="Arial" w:eastAsia="Arial" w:cs="Arial"/>
      <w:kern w:val="2"/>
      <w:lang w:eastAsia="ru-RU"/>
    </w:rPr>
  </w:style>
  <w:style w:type="character" w:styleId="DefaultParagraphFontWW">
    <w:name w:val="Default Paragraph Font (WW)"/>
    <w:qFormat/>
    <w:rPr/>
  </w:style>
  <w:style w:type="character" w:styleId="11">
    <w:name w:val="Заголовок 1 Знак"/>
    <w:basedOn w:val="DefaultParagraphFontWW"/>
    <w:qFormat/>
    <w:rPr>
      <w:rFonts w:ascii="Arial" w:hAnsi="Arial" w:eastAsia="Arial" w:cs="Arial"/>
      <w:b/>
      <w:bCs/>
      <w:kern w:val="2"/>
      <w:sz w:val="32"/>
      <w:szCs w:val="32"/>
      <w:lang w:eastAsia="ru-RU"/>
    </w:rPr>
  </w:style>
  <w:style w:type="character" w:styleId="21">
    <w:name w:val="Заголовок 2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31">
    <w:name w:val="Заголовок 3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41">
    <w:name w:val="Заголовок 4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51">
    <w:name w:val="Заголовок 5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61">
    <w:name w:val="Заголовок 6 Знак"/>
    <w:basedOn w:val="DefaultParagraphFontWW"/>
    <w:qFormat/>
    <w:rPr>
      <w:rFonts w:ascii="Times New Roman" w:hAnsi="Times New Roman" w:eastAsia="Times New Roman" w:cs="Times New Roman"/>
      <w:b/>
      <w:bCs/>
      <w:kern w:val="2"/>
      <w:lang w:eastAsia="ru-RU"/>
    </w:rPr>
  </w:style>
  <w:style w:type="character" w:styleId="71">
    <w:name w:val="Заголовок 7 Знак"/>
    <w:basedOn w:val="DefaultParagraphFontWW"/>
    <w:qFormat/>
    <w:rPr>
      <w:rFonts w:ascii="Calibri" w:hAnsi="Calibri" w:eastAsia="Calibri" w:cs="Calibri"/>
      <w:kern w:val="2"/>
      <w:sz w:val="24"/>
      <w:szCs w:val="24"/>
      <w:lang w:eastAsia="ru-RU"/>
    </w:rPr>
  </w:style>
  <w:style w:type="character" w:styleId="81">
    <w:name w:val="Заголовок 8 Знак"/>
    <w:basedOn w:val="DefaultParagraphFontWW"/>
    <w:qFormat/>
    <w:rPr>
      <w:rFonts w:ascii="Times New Roman" w:hAnsi="Times New Roman" w:eastAsia="Times New Roman" w:cs="Times New Roman"/>
      <w:kern w:val="2"/>
      <w:sz w:val="28"/>
      <w:szCs w:val="28"/>
      <w:lang w:eastAsia="ru-RU"/>
    </w:rPr>
  </w:style>
  <w:style w:type="character" w:styleId="91">
    <w:name w:val="Заголовок 9 Знак"/>
    <w:basedOn w:val="DefaultParagraphFontWW"/>
    <w:qFormat/>
    <w:rPr>
      <w:rFonts w:ascii="Arial" w:hAnsi="Arial" w:eastAsia="Arial" w:cs="Arial"/>
      <w:kern w:val="2"/>
      <w:lang w:eastAsia="ru-RU"/>
    </w:rPr>
  </w:style>
  <w:style w:type="character" w:styleId="Style5">
    <w:name w:val="Интернет-ссылка"/>
    <w:basedOn w:val="DefaultParagraphFontWW"/>
    <w:rPr>
      <w:color w:val="0563C1"/>
      <w:u w:val="single"/>
    </w:rPr>
  </w:style>
  <w:style w:type="character" w:styleId="Style6">
    <w:name w:val="Основной шрифт абзаца"/>
    <w:qFormat/>
    <w:rPr/>
  </w:style>
  <w:style w:type="character" w:styleId="WWCharLFO54LVL1">
    <w:name w:val="WW_CharLFO54LVL1"/>
    <w:qFormat/>
    <w:rPr>
      <w:rFonts w:ascii="OpenSymbol" w:hAnsi="OpenSymbol" w:eastAsia="OpenSymbol" w:cs="OpenSymbol"/>
    </w:rPr>
  </w:style>
  <w:style w:type="character" w:styleId="WWCharLFO54LVL2">
    <w:name w:val="WW_CharLFO54LVL2"/>
    <w:qFormat/>
    <w:rPr>
      <w:rFonts w:ascii="OpenSymbol" w:hAnsi="OpenSymbol" w:eastAsia="OpenSymbol" w:cs="OpenSymbol"/>
    </w:rPr>
  </w:style>
  <w:style w:type="character" w:styleId="WWCharLFO54LVL3">
    <w:name w:val="WW_CharLFO54LVL3"/>
    <w:qFormat/>
    <w:rPr>
      <w:rFonts w:ascii="OpenSymbol" w:hAnsi="OpenSymbol" w:eastAsia="OpenSymbol" w:cs="OpenSymbol"/>
    </w:rPr>
  </w:style>
  <w:style w:type="character" w:styleId="WWCharLFO54LVL4">
    <w:name w:val="WW_CharLFO54LVL4"/>
    <w:qFormat/>
    <w:rPr>
      <w:rFonts w:ascii="OpenSymbol" w:hAnsi="OpenSymbol" w:eastAsia="OpenSymbol" w:cs="OpenSymbol"/>
    </w:rPr>
  </w:style>
  <w:style w:type="character" w:styleId="WWCharLFO54LVL5">
    <w:name w:val="WW_CharLFO54LVL5"/>
    <w:qFormat/>
    <w:rPr>
      <w:rFonts w:ascii="OpenSymbol" w:hAnsi="OpenSymbol" w:eastAsia="OpenSymbol" w:cs="OpenSymbol"/>
    </w:rPr>
  </w:style>
  <w:style w:type="character" w:styleId="WWCharLFO54LVL6">
    <w:name w:val="WW_CharLFO54LVL6"/>
    <w:qFormat/>
    <w:rPr>
      <w:rFonts w:ascii="OpenSymbol" w:hAnsi="OpenSymbol" w:eastAsia="OpenSymbol" w:cs="OpenSymbol"/>
    </w:rPr>
  </w:style>
  <w:style w:type="character" w:styleId="WWCharLFO54LVL7">
    <w:name w:val="WW_CharLFO54LVL7"/>
    <w:qFormat/>
    <w:rPr>
      <w:rFonts w:ascii="OpenSymbol" w:hAnsi="OpenSymbol" w:eastAsia="OpenSymbol" w:cs="OpenSymbol"/>
    </w:rPr>
  </w:style>
  <w:style w:type="character" w:styleId="WWCharLFO54LVL8">
    <w:name w:val="WW_CharLFO54LVL8"/>
    <w:qFormat/>
    <w:rPr>
      <w:rFonts w:ascii="OpenSymbol" w:hAnsi="OpenSymbol" w:eastAsia="OpenSymbol" w:cs="OpenSymbol"/>
    </w:rPr>
  </w:style>
  <w:style w:type="character" w:styleId="WWCharLFO54LVL9">
    <w:name w:val="WW_CharLFO54LVL9"/>
    <w:qFormat/>
    <w:rPr>
      <w:rFonts w:ascii="OpenSymbol" w:hAnsi="OpenSymbol" w:eastAsia="OpenSymbol" w:cs="OpenSymbol"/>
    </w:rPr>
  </w:style>
  <w:style w:type="character" w:styleId="Style7">
    <w:name w:val="Маркеры"/>
    <w:qFormat/>
    <w:rPr>
      <w:rFonts w:ascii="OpenSymbol" w:hAnsi="OpenSymbol" w:eastAsia="OpenSymbol" w:cs="OpenSymbol"/>
    </w:rPr>
  </w:style>
  <w:style w:type="character" w:styleId="Style8">
    <w:name w:val="Посещённая гиперссылка"/>
    <w:rPr>
      <w:color w:val="800080"/>
      <w:u w:val="single"/>
    </w:rPr>
  </w:style>
  <w:style w:type="paragraph" w:styleId="Style9">
    <w:name w:val="Заголовок"/>
    <w:basedOn w:val="Normal"/>
    <w:next w:val="Style10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10">
    <w:name w:val="Body Text"/>
    <w:basedOn w:val="Normal"/>
    <w:pPr>
      <w:spacing w:lineRule="auto" w:line="276" w:before="0" w:after="140"/>
    </w:pPr>
    <w:rPr/>
  </w:style>
  <w:style w:type="paragraph" w:styleId="Style11">
    <w:name w:val="List"/>
    <w:basedOn w:val="Style10"/>
    <w:pPr/>
    <w:rPr>
      <w:rFonts w:cs="Lohit Devanagari"/>
    </w:rPr>
  </w:style>
  <w:style w:type="paragraph" w:styleId="Style12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Style14">
    <w:name w:val="Колонтитул"/>
    <w:basedOn w:val="Normal"/>
    <w:qFormat/>
    <w:pPr/>
    <w:rPr/>
  </w:style>
  <w:style w:type="paragraph" w:styleId="Style15">
    <w:name w:val="Footer"/>
    <w:basedOn w:val="Style14"/>
    <w:pPr/>
    <w:rPr/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Closing">
    <w:name w:val="Closing"/>
    <w:basedOn w:val="Normal"/>
    <w:qFormat/>
    <w:pPr>
      <w:suppressAutoHyphens w:val="true"/>
      <w:overflowPunct w:val="false"/>
      <w:spacing w:lineRule="auto" w:line="360"/>
      <w:ind w:left="0" w:right="142" w:hanging="0"/>
      <w:jc w:val="center"/>
    </w:pPr>
    <w:rPr>
      <w:rFonts w:ascii="Arial" w:hAnsi="Arial" w:eastAsia="Arial" w:cs="Arial"/>
      <w:b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Courier New" w:hAnsi="Courier New" w:eastAsia="Courier New" w:cs="Courier New"/>
      <w:color w:val="auto"/>
      <w:kern w:val="0"/>
      <w:sz w:val="22"/>
      <w:szCs w:val="22"/>
      <w:lang w:val="ru-RU" w:eastAsia="en-US" w:bidi="ar-SA"/>
    </w:rPr>
  </w:style>
  <w:style w:type="paragraph" w:styleId="Style17">
    <w:name w:val="Обычный"/>
    <w:qFormat/>
    <w:pPr>
      <w:widowControl/>
      <w:suppressAutoHyphens w:val="false"/>
      <w:overflowPunct w:val="true"/>
      <w:bidi w:val="0"/>
      <w:spacing w:before="0" w:after="0"/>
      <w:jc w:val="left"/>
    </w:pPr>
    <w:rPr>
      <w:rFonts w:ascii="Calibri" w:hAnsi="Calibri" w:eastAsia="Calibri" w:cs="DejaVu Sans"/>
      <w:color w:val="auto"/>
      <w:kern w:val="0"/>
      <w:sz w:val="22"/>
      <w:szCs w:val="22"/>
      <w:lang w:val="ru-RU" w:eastAsia="en-US" w:bidi="ar-SA"/>
    </w:rPr>
  </w:style>
  <w:style w:type="paragraph" w:styleId="Closing1">
    <w:name w:val="Closing1"/>
    <w:basedOn w:val="Normal"/>
    <w:qFormat/>
    <w:pPr>
      <w:overflowPunct w:val="true"/>
      <w:spacing w:lineRule="auto" w:line="360"/>
      <w:ind w:left="0" w:right="142" w:hanging="0"/>
      <w:jc w:val="center"/>
    </w:pPr>
    <w:rPr>
      <w:rFonts w:ascii="Arial" w:hAnsi="Arial" w:eastAsia="Arial" w:cs="Arial"/>
      <w:b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Style19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20">
    <w:name w:val="Абзац списка"/>
    <w:basedOn w:val="Normal"/>
    <w:qFormat/>
    <w:pPr>
      <w:widowControl/>
      <w:tabs>
        <w:tab w:val="clear" w:pos="708"/>
      </w:tabs>
      <w:suppressAutoHyphens w:val="true"/>
      <w:spacing w:lineRule="auto" w:line="276" w:before="0" w:after="200"/>
      <w:ind w:left="720" w:right="0" w:hanging="0"/>
    </w:pPr>
    <w:rPr>
      <w:rFonts w:ascii="Calibri" w:hAnsi="Calibri" w:eastAsia="Calibri"/>
      <w:sz w:val="22"/>
      <w:szCs w:val="22"/>
    </w:rPr>
  </w:style>
  <w:style w:type="paragraph" w:styleId="ListParagraph">
    <w:name w:val="List Paragraph"/>
    <w:basedOn w:val="Normal"/>
    <w:qFormat/>
    <w:pPr>
      <w:spacing w:before="0" w:after="160"/>
      <w:ind w:left="720" w:right="0" w:hanging="0"/>
      <w:contextualSpacing/>
    </w:pPr>
    <w:rPr/>
  </w:style>
  <w:style w:type="paragraph" w:styleId="Standard">
    <w:name w:val="Standard"/>
    <w:qFormat/>
    <w:pPr>
      <w:widowControl/>
      <w:suppressAutoHyphens w:val="true"/>
      <w:overflowPunct w:val="true"/>
      <w:bidi w:val="0"/>
      <w:spacing w:lineRule="auto" w:line="276" w:before="0" w:after="200"/>
      <w:jc w:val="left"/>
      <w:textAlignment w:val="baseline"/>
    </w:pPr>
    <w:rPr>
      <w:rFonts w:ascii="Calibri" w:hAnsi="Calibri" w:eastAsia="Calibri" w:cs="F"/>
      <w:color w:val="auto"/>
      <w:kern w:val="0"/>
      <w:sz w:val="22"/>
      <w:szCs w:val="22"/>
      <w:lang w:val="ru-RU" w:eastAsia="en-US" w:bidi="ar-SA"/>
    </w:rPr>
  </w:style>
  <w:style w:type="paragraph" w:styleId="Textbody">
    <w:name w:val="Text body"/>
    <w:basedOn w:val="Standard"/>
    <w:qFormat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">
    <w:name w:val="Основной текст с отступом.Мой Заголовок 1"/>
    <w:basedOn w:val="Normal"/>
    <w:qFormat/>
    <w:pPr>
      <w:tabs>
        <w:tab w:val="clear" w:pos="708"/>
        <w:tab w:val="left" w:pos="6237" w:leader="none"/>
      </w:tabs>
      <w:suppressAutoHyphens w:val="true"/>
      <w:spacing w:lineRule="auto" w:line="240"/>
      <w:jc w:val="center"/>
    </w:pPr>
    <w:rPr>
      <w:sz w:val="28"/>
      <w:szCs w:val="28"/>
      <w:lang w:val="en-US"/>
    </w:rPr>
  </w:style>
  <w:style w:type="paragraph" w:styleId="Style21">
    <w:name w:val="Заголовок таблицы"/>
    <w:basedOn w:val="Style16"/>
    <w:qFormat/>
    <w:pPr>
      <w:suppressLineNumbers/>
      <w:jc w:val="center"/>
    </w:pPr>
    <w:rPr>
      <w:b/>
      <w:bCs/>
    </w:rPr>
  </w:style>
  <w:style w:type="numbering" w:styleId="NoListWW">
    <w:name w:val="No List (WW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Application>LibreOffice/7.1.8.1$Linux_X86_64 LibreOffice_project/10$Build-1</Application>
  <AppVersion>15.0000</AppVersion>
  <Pages>2</Pages>
  <Words>229</Words>
  <Characters>1277</Characters>
  <CharactersWithSpaces>1428</CharactersWithSpaces>
  <Paragraphs>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2024-09-23T00:47:00Z</dcterms:created>
  <dc:creator>Михаил</dc:creator>
  <dc:description/>
  <dc:language>ru-RU</dc:language>
  <cp:lastModifiedBy/>
  <cp:lastPrinted>2025-07-15T16:32:59Z</cp:lastPrinted>
  <dcterms:modified xsi:type="dcterms:W3CDTF">2026-07-16T14:27:58Z</dcterms:modified>
  <cp:revision>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